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309" w:rsidRDefault="00B25309" w:rsidP="00B25309">
      <w:pPr>
        <w:rPr>
          <w:rFonts w:asciiTheme="minorHAnsi" w:hAnsiTheme="minorHAnsi"/>
          <w:sz w:val="28"/>
          <w:szCs w:val="28"/>
        </w:rPr>
      </w:pPr>
      <w:bookmarkStart w:id="0" w:name="_GoBack"/>
      <w:bookmarkEnd w:id="0"/>
    </w:p>
    <w:tbl>
      <w:tblPr>
        <w:tblW w:w="9600" w:type="dxa"/>
        <w:jc w:val="center"/>
        <w:tblCellMar>
          <w:left w:w="0" w:type="dxa"/>
          <w:right w:w="0" w:type="dxa"/>
        </w:tblCellMar>
        <w:tblLook w:val="04A0" w:firstRow="1" w:lastRow="0" w:firstColumn="1" w:lastColumn="0" w:noHBand="0" w:noVBand="1"/>
      </w:tblPr>
      <w:tblGrid>
        <w:gridCol w:w="9600"/>
      </w:tblGrid>
      <w:tr w:rsidR="00B25309" w:rsidTr="00B25309">
        <w:trPr>
          <w:jc w:val="center"/>
        </w:trPr>
        <w:tc>
          <w:tcPr>
            <w:tcW w:w="9600" w:type="dxa"/>
            <w:hideMark/>
          </w:tcPr>
          <w:tbl>
            <w:tblPr>
              <w:tblW w:w="5000" w:type="pct"/>
              <w:tblCellMar>
                <w:left w:w="0" w:type="dxa"/>
                <w:right w:w="0" w:type="dxa"/>
              </w:tblCellMar>
              <w:tblLook w:val="04A0" w:firstRow="1" w:lastRow="0" w:firstColumn="1" w:lastColumn="0" w:noHBand="0" w:noVBand="1"/>
            </w:tblPr>
            <w:tblGrid>
              <w:gridCol w:w="9600"/>
            </w:tblGrid>
            <w:tr w:rsidR="00B25309">
              <w:tc>
                <w:tcPr>
                  <w:tcW w:w="9585" w:type="dxa"/>
                  <w:hideMark/>
                </w:tcPr>
                <w:tbl>
                  <w:tblPr>
                    <w:tblW w:w="9600" w:type="dxa"/>
                    <w:tblCellMar>
                      <w:left w:w="0" w:type="dxa"/>
                      <w:right w:w="0" w:type="dxa"/>
                    </w:tblCellMar>
                    <w:tblLook w:val="04A0" w:firstRow="1" w:lastRow="0" w:firstColumn="1" w:lastColumn="0" w:noHBand="0" w:noVBand="1"/>
                  </w:tblPr>
                  <w:tblGrid>
                    <w:gridCol w:w="9600"/>
                  </w:tblGrid>
                  <w:tr w:rsidR="00B25309">
                    <w:tc>
                      <w:tcPr>
                        <w:tcW w:w="2505" w:type="dxa"/>
                        <w:hideMark/>
                      </w:tcPr>
                      <w:p w:rsidR="00B25309" w:rsidRDefault="00B25309">
                        <w:pPr>
                          <w:spacing w:line="254" w:lineRule="auto"/>
                          <w:rPr>
                            <w:rFonts w:ascii="Times New Roman" w:hAnsi="Times New Roman"/>
                            <w:sz w:val="24"/>
                            <w:szCs w:val="24"/>
                          </w:rPr>
                        </w:pPr>
                        <w:r>
                          <w:rPr>
                            <w:rFonts w:ascii="Times New Roman" w:hAnsi="Times New Roman"/>
                            <w:noProof/>
                            <w:sz w:val="24"/>
                            <w:szCs w:val="24"/>
                          </w:rPr>
                          <w:drawing>
                            <wp:inline distT="0" distB="0" distL="0" distR="0">
                              <wp:extent cx="6086475" cy="2209800"/>
                              <wp:effectExtent l="0" t="0" r="9525" b="0"/>
                              <wp:docPr id="6" name="Picture 6" descr="cid:image001.jpg@01D15E86.DE0C4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5E86.DE0C46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086475" cy="2209800"/>
                                      </a:xfrm>
                                      <a:prstGeom prst="rect">
                                        <a:avLst/>
                                      </a:prstGeom>
                                      <a:noFill/>
                                      <a:ln>
                                        <a:noFill/>
                                      </a:ln>
                                    </pic:spPr>
                                  </pic:pic>
                                </a:graphicData>
                              </a:graphic>
                            </wp:inline>
                          </w:drawing>
                        </w:r>
                      </w:p>
                    </w:tc>
                  </w:tr>
                </w:tbl>
                <w:p w:rsidR="00B25309" w:rsidRDefault="00B25309">
                  <w:pPr>
                    <w:rPr>
                      <w:rFonts w:asciiTheme="minorHAnsi" w:hAnsiTheme="minorHAnsi"/>
                    </w:rPr>
                  </w:pPr>
                </w:p>
              </w:tc>
            </w:tr>
            <w:tr w:rsidR="00B25309">
              <w:tc>
                <w:tcPr>
                  <w:tcW w:w="9585" w:type="dxa"/>
                  <w:hideMark/>
                </w:tcPr>
                <w:tbl>
                  <w:tblPr>
                    <w:tblW w:w="5000" w:type="pct"/>
                    <w:tblCellMar>
                      <w:left w:w="0" w:type="dxa"/>
                      <w:right w:w="0" w:type="dxa"/>
                    </w:tblCellMar>
                    <w:tblLook w:val="04A0" w:firstRow="1" w:lastRow="0" w:firstColumn="1" w:lastColumn="0" w:noHBand="0" w:noVBand="1"/>
                  </w:tblPr>
                  <w:tblGrid>
                    <w:gridCol w:w="9600"/>
                  </w:tblGrid>
                  <w:tr w:rsidR="00B25309">
                    <w:tc>
                      <w:tcPr>
                        <w:tcW w:w="9600" w:type="dxa"/>
                        <w:shd w:val="clear" w:color="auto" w:fill="E87722"/>
                        <w:tcMar>
                          <w:top w:w="240" w:type="dxa"/>
                          <w:left w:w="675" w:type="dxa"/>
                          <w:bottom w:w="240" w:type="dxa"/>
                          <w:right w:w="300" w:type="dxa"/>
                        </w:tcMar>
                        <w:hideMark/>
                      </w:tcPr>
                      <w:p w:rsidR="00B25309" w:rsidRDefault="00B25309">
                        <w:pPr>
                          <w:spacing w:line="270" w:lineRule="atLeast"/>
                          <w:rPr>
                            <w:rFonts w:ascii="Arial" w:hAnsi="Arial" w:cs="Arial"/>
                            <w:b/>
                            <w:bCs/>
                            <w:color w:val="FFFFFF"/>
                            <w:sz w:val="23"/>
                            <w:szCs w:val="23"/>
                          </w:rPr>
                        </w:pPr>
                        <w:r>
                          <w:rPr>
                            <w:rFonts w:ascii="Arial" w:hAnsi="Arial" w:cs="Arial"/>
                            <w:b/>
                            <w:bCs/>
                            <w:color w:val="FFFFFF"/>
                            <w:sz w:val="23"/>
                            <w:szCs w:val="23"/>
                          </w:rPr>
                          <w:t xml:space="preserve">You will receive your new </w:t>
                        </w:r>
                        <w:proofErr w:type="spellStart"/>
                        <w:r>
                          <w:rPr>
                            <w:rFonts w:ascii="Arial" w:hAnsi="Arial" w:cs="Arial"/>
                            <w:b/>
                            <w:bCs/>
                            <w:color w:val="FFFFFF"/>
                            <w:sz w:val="23"/>
                            <w:szCs w:val="23"/>
                          </w:rPr>
                          <w:t>Optum</w:t>
                        </w:r>
                        <w:proofErr w:type="spellEnd"/>
                        <w:r>
                          <w:rPr>
                            <w:rFonts w:ascii="Arial" w:hAnsi="Arial" w:cs="Arial"/>
                            <w:b/>
                            <w:bCs/>
                            <w:color w:val="FFFFFF"/>
                            <w:sz w:val="18"/>
                            <w:szCs w:val="18"/>
                            <w:vertAlign w:val="superscript"/>
                          </w:rPr>
                          <w:t>®</w:t>
                        </w:r>
                        <w:r>
                          <w:rPr>
                            <w:rFonts w:ascii="Arial" w:hAnsi="Arial" w:cs="Arial"/>
                            <w:b/>
                            <w:bCs/>
                            <w:color w:val="FFFFFF"/>
                            <w:sz w:val="23"/>
                            <w:szCs w:val="23"/>
                          </w:rPr>
                          <w:t xml:space="preserve"> payment card soon! </w:t>
                        </w:r>
                      </w:p>
                    </w:tc>
                  </w:tr>
                  <w:tr w:rsidR="00B25309">
                    <w:tc>
                      <w:tcPr>
                        <w:tcW w:w="9600" w:type="dxa"/>
                        <w:tcMar>
                          <w:top w:w="300" w:type="dxa"/>
                          <w:left w:w="675" w:type="dxa"/>
                          <w:bottom w:w="0" w:type="dxa"/>
                          <w:right w:w="600" w:type="dxa"/>
                        </w:tcMar>
                        <w:hideMark/>
                      </w:tcPr>
                      <w:p w:rsidR="00B25309" w:rsidRDefault="00B25309">
                        <w:pPr>
                          <w:spacing w:line="270" w:lineRule="atLeast"/>
                          <w:rPr>
                            <w:rFonts w:ascii="Arial" w:hAnsi="Arial" w:cs="Arial"/>
                            <w:color w:val="63666A"/>
                            <w:sz w:val="20"/>
                            <w:szCs w:val="20"/>
                          </w:rPr>
                        </w:pPr>
                        <w:r>
                          <w:rPr>
                            <w:rFonts w:ascii="Arial" w:hAnsi="Arial" w:cs="Arial"/>
                            <w:color w:val="63666A"/>
                            <w:sz w:val="20"/>
                            <w:szCs w:val="20"/>
                          </w:rPr>
                          <w:t xml:space="preserve">Your new </w:t>
                        </w:r>
                        <w:proofErr w:type="spellStart"/>
                        <w:r>
                          <w:rPr>
                            <w:rFonts w:ascii="Arial" w:hAnsi="Arial" w:cs="Arial"/>
                            <w:color w:val="63666A"/>
                            <w:sz w:val="20"/>
                            <w:szCs w:val="20"/>
                          </w:rPr>
                          <w:t>Optum</w:t>
                        </w:r>
                        <w:proofErr w:type="spellEnd"/>
                        <w:r>
                          <w:rPr>
                            <w:rFonts w:ascii="Arial" w:hAnsi="Arial" w:cs="Arial"/>
                            <w:color w:val="63666A"/>
                            <w:sz w:val="20"/>
                            <w:szCs w:val="20"/>
                          </w:rPr>
                          <w:t xml:space="preserve"> card will arrive by March 1, 2016. Here is what you need to know about your new card:</w:t>
                        </w:r>
                      </w:p>
                    </w:tc>
                  </w:tr>
                  <w:tr w:rsidR="00B25309">
                    <w:tc>
                      <w:tcPr>
                        <w:tcW w:w="9600" w:type="dxa"/>
                        <w:tcMar>
                          <w:top w:w="300" w:type="dxa"/>
                          <w:left w:w="675" w:type="dxa"/>
                          <w:bottom w:w="0" w:type="dxa"/>
                          <w:right w:w="600" w:type="dxa"/>
                        </w:tcMar>
                        <w:hideMark/>
                      </w:tcPr>
                      <w:tbl>
                        <w:tblPr>
                          <w:tblW w:w="5000" w:type="pct"/>
                          <w:tblCellMar>
                            <w:left w:w="0" w:type="dxa"/>
                            <w:right w:w="0" w:type="dxa"/>
                          </w:tblCellMar>
                          <w:tblLook w:val="04A0" w:firstRow="1" w:lastRow="0" w:firstColumn="1" w:lastColumn="0" w:noHBand="0" w:noVBand="1"/>
                        </w:tblPr>
                        <w:tblGrid>
                          <w:gridCol w:w="4541"/>
                          <w:gridCol w:w="3784"/>
                        </w:tblGrid>
                        <w:tr w:rsidR="00B25309">
                          <w:tc>
                            <w:tcPr>
                              <w:tcW w:w="4500" w:type="dxa"/>
                              <w:vAlign w:val="center"/>
                              <w:hideMark/>
                            </w:tcPr>
                            <w:tbl>
                              <w:tblPr>
                                <w:tblW w:w="5000" w:type="pct"/>
                                <w:tblCellMar>
                                  <w:left w:w="0" w:type="dxa"/>
                                  <w:right w:w="0" w:type="dxa"/>
                                </w:tblCellMar>
                                <w:tblLook w:val="04A0" w:firstRow="1" w:lastRow="0" w:firstColumn="1" w:lastColumn="0" w:noHBand="0" w:noVBand="1"/>
                              </w:tblPr>
                              <w:tblGrid>
                                <w:gridCol w:w="191"/>
                                <w:gridCol w:w="4350"/>
                              </w:tblGrid>
                              <w:tr w:rsidR="00B25309">
                                <w:tc>
                                  <w:tcPr>
                                    <w:tcW w:w="195" w:type="dxa"/>
                                    <w:tcMar>
                                      <w:top w:w="0" w:type="dxa"/>
                                      <w:left w:w="0" w:type="dxa"/>
                                      <w:bottom w:w="0" w:type="dxa"/>
                                      <w:right w:w="120" w:type="dxa"/>
                                    </w:tcMar>
                                    <w:hideMark/>
                                  </w:tcPr>
                                  <w:p w:rsidR="00B25309" w:rsidRDefault="00B25309">
                                    <w:pPr>
                                      <w:spacing w:line="270" w:lineRule="atLeast"/>
                                      <w:rPr>
                                        <w:rFonts w:ascii="Arial" w:hAnsi="Arial" w:cs="Arial"/>
                                        <w:color w:val="63666A"/>
                                        <w:sz w:val="20"/>
                                        <w:szCs w:val="20"/>
                                      </w:rPr>
                                    </w:pPr>
                                    <w:r>
                                      <w:rPr>
                                        <w:rFonts w:ascii="Arial" w:hAnsi="Arial" w:cs="Arial"/>
                                        <w:b/>
                                        <w:bCs/>
                                        <w:color w:val="63666A"/>
                                        <w:sz w:val="20"/>
                                        <w:szCs w:val="20"/>
                                      </w:rPr>
                                      <w:t>•</w:t>
                                    </w:r>
                                  </w:p>
                                </w:tc>
                                <w:tc>
                                  <w:tcPr>
                                    <w:tcW w:w="4290" w:type="dxa"/>
                                    <w:hideMark/>
                                  </w:tcPr>
                                  <w:p w:rsidR="00B25309" w:rsidRDefault="00B25309">
                                    <w:pPr>
                                      <w:spacing w:line="270" w:lineRule="atLeast"/>
                                      <w:rPr>
                                        <w:rFonts w:ascii="Arial" w:hAnsi="Arial" w:cs="Arial"/>
                                        <w:color w:val="63666A"/>
                                        <w:sz w:val="20"/>
                                        <w:szCs w:val="20"/>
                                      </w:rPr>
                                    </w:pPr>
                                    <w:r>
                                      <w:rPr>
                                        <w:rFonts w:ascii="Arial" w:hAnsi="Arial" w:cs="Arial"/>
                                        <w:color w:val="63666A"/>
                                        <w:sz w:val="20"/>
                                        <w:szCs w:val="20"/>
                                      </w:rPr>
                                      <w:t xml:space="preserve">This new card will replace your existing card. </w:t>
                                    </w:r>
                                    <w:r>
                                      <w:rPr>
                                        <w:rFonts w:ascii="Arial" w:hAnsi="Arial" w:cs="Arial"/>
                                        <w:b/>
                                        <w:color w:val="63666A"/>
                                        <w:sz w:val="20"/>
                                        <w:szCs w:val="20"/>
                                      </w:rPr>
                                      <w:t>Do not discard</w:t>
                                    </w:r>
                                    <w:r>
                                      <w:rPr>
                                        <w:rFonts w:ascii="Arial" w:hAnsi="Arial" w:cs="Arial"/>
                                        <w:color w:val="63666A"/>
                                        <w:sz w:val="20"/>
                                        <w:szCs w:val="20"/>
                                      </w:rPr>
                                      <w:t xml:space="preserve"> </w:t>
                                    </w:r>
                                    <w:r>
                                      <w:rPr>
                                        <w:rFonts w:ascii="Arial" w:hAnsi="Arial" w:cs="Arial"/>
                                        <w:b/>
                                        <w:color w:val="63666A"/>
                                        <w:sz w:val="20"/>
                                        <w:szCs w:val="20"/>
                                      </w:rPr>
                                      <w:t>your old card until after March 1!</w:t>
                                    </w:r>
                                  </w:p>
                                </w:tc>
                              </w:tr>
                              <w:tr w:rsidR="00B25309">
                                <w:tc>
                                  <w:tcPr>
                                    <w:tcW w:w="0" w:type="auto"/>
                                    <w:tcMar>
                                      <w:top w:w="75" w:type="dxa"/>
                                      <w:left w:w="0" w:type="dxa"/>
                                      <w:bottom w:w="0" w:type="dxa"/>
                                      <w:right w:w="120" w:type="dxa"/>
                                    </w:tcMar>
                                    <w:hideMark/>
                                  </w:tcPr>
                                  <w:p w:rsidR="00B25309" w:rsidRDefault="00B25309">
                                    <w:pPr>
                                      <w:spacing w:line="270" w:lineRule="atLeast"/>
                                      <w:rPr>
                                        <w:rFonts w:ascii="Arial" w:hAnsi="Arial" w:cs="Arial"/>
                                        <w:color w:val="63666A"/>
                                        <w:sz w:val="20"/>
                                        <w:szCs w:val="20"/>
                                      </w:rPr>
                                    </w:pPr>
                                    <w:r>
                                      <w:rPr>
                                        <w:rFonts w:ascii="Arial" w:hAnsi="Arial" w:cs="Arial"/>
                                        <w:b/>
                                        <w:bCs/>
                                        <w:color w:val="63666A"/>
                                        <w:sz w:val="20"/>
                                        <w:szCs w:val="20"/>
                                      </w:rPr>
                                      <w:t>•</w:t>
                                    </w:r>
                                  </w:p>
                                </w:tc>
                                <w:tc>
                                  <w:tcPr>
                                    <w:tcW w:w="0" w:type="auto"/>
                                    <w:tcMar>
                                      <w:top w:w="75" w:type="dxa"/>
                                      <w:left w:w="0" w:type="dxa"/>
                                      <w:bottom w:w="0" w:type="dxa"/>
                                      <w:right w:w="0" w:type="dxa"/>
                                    </w:tcMar>
                                    <w:hideMark/>
                                  </w:tcPr>
                                  <w:p w:rsidR="00B25309" w:rsidRDefault="00B25309">
                                    <w:pPr>
                                      <w:spacing w:line="270" w:lineRule="atLeast"/>
                                      <w:rPr>
                                        <w:rFonts w:ascii="Arial" w:hAnsi="Arial" w:cs="Arial"/>
                                        <w:color w:val="63666A"/>
                                        <w:sz w:val="20"/>
                                        <w:szCs w:val="20"/>
                                      </w:rPr>
                                    </w:pPr>
                                    <w:r>
                                      <w:rPr>
                                        <w:rFonts w:ascii="Arial" w:hAnsi="Arial" w:cs="Arial"/>
                                        <w:color w:val="63666A"/>
                                        <w:sz w:val="20"/>
                                        <w:szCs w:val="20"/>
                                      </w:rPr>
                                      <w:t>Your new card will function the same as your current card.</w:t>
                                    </w:r>
                                  </w:p>
                                </w:tc>
                              </w:tr>
                              <w:tr w:rsidR="00B25309">
                                <w:tc>
                                  <w:tcPr>
                                    <w:tcW w:w="0" w:type="auto"/>
                                    <w:tcMar>
                                      <w:top w:w="75" w:type="dxa"/>
                                      <w:left w:w="0" w:type="dxa"/>
                                      <w:bottom w:w="0" w:type="dxa"/>
                                      <w:right w:w="120" w:type="dxa"/>
                                    </w:tcMar>
                                    <w:hideMark/>
                                  </w:tcPr>
                                  <w:p w:rsidR="00B25309" w:rsidRDefault="00B25309">
                                    <w:pPr>
                                      <w:spacing w:line="270" w:lineRule="atLeast"/>
                                      <w:rPr>
                                        <w:rFonts w:ascii="Arial" w:hAnsi="Arial" w:cs="Arial"/>
                                        <w:color w:val="63666A"/>
                                        <w:sz w:val="20"/>
                                        <w:szCs w:val="20"/>
                                      </w:rPr>
                                    </w:pPr>
                                    <w:r>
                                      <w:rPr>
                                        <w:rFonts w:ascii="Arial" w:hAnsi="Arial" w:cs="Arial"/>
                                        <w:b/>
                                        <w:bCs/>
                                        <w:color w:val="63666A"/>
                                        <w:sz w:val="20"/>
                                        <w:szCs w:val="20"/>
                                      </w:rPr>
                                      <w:t>•</w:t>
                                    </w:r>
                                  </w:p>
                                </w:tc>
                                <w:tc>
                                  <w:tcPr>
                                    <w:tcW w:w="0" w:type="auto"/>
                                    <w:tcMar>
                                      <w:top w:w="75" w:type="dxa"/>
                                      <w:left w:w="0" w:type="dxa"/>
                                      <w:bottom w:w="0" w:type="dxa"/>
                                      <w:right w:w="0" w:type="dxa"/>
                                    </w:tcMar>
                                    <w:hideMark/>
                                  </w:tcPr>
                                  <w:p w:rsidR="00B25309" w:rsidRDefault="00B25309">
                                    <w:pPr>
                                      <w:spacing w:line="270" w:lineRule="atLeast"/>
                                      <w:rPr>
                                        <w:rFonts w:ascii="Arial" w:hAnsi="Arial" w:cs="Arial"/>
                                        <w:color w:val="63666A"/>
                                        <w:sz w:val="20"/>
                                        <w:szCs w:val="20"/>
                                      </w:rPr>
                                    </w:pPr>
                                    <w:r>
                                      <w:rPr>
                                        <w:rFonts w:ascii="Arial" w:hAnsi="Arial" w:cs="Arial"/>
                                        <w:color w:val="63666A"/>
                                        <w:sz w:val="20"/>
                                        <w:szCs w:val="20"/>
                                      </w:rPr>
                                      <w:t>There is a 1-day period on March 1 when neither payment card will work. This is necessary to ensure that the new card is functioning properly. If this creates an inconvenience for you, please contact customer service by calling the number on the back of your card to discuss alternative options.</w:t>
                                    </w:r>
                                  </w:p>
                                </w:tc>
                              </w:tr>
                            </w:tbl>
                            <w:p w:rsidR="00B25309" w:rsidRDefault="00B25309">
                              <w:pPr>
                                <w:rPr>
                                  <w:rFonts w:asciiTheme="minorHAnsi" w:hAnsiTheme="minorHAnsi"/>
                                </w:rPr>
                              </w:pPr>
                            </w:p>
                          </w:tc>
                          <w:tc>
                            <w:tcPr>
                              <w:tcW w:w="3360" w:type="dxa"/>
                              <w:tcMar>
                                <w:top w:w="0" w:type="dxa"/>
                                <w:left w:w="450" w:type="dxa"/>
                                <w:bottom w:w="0" w:type="dxa"/>
                                <w:right w:w="0" w:type="dxa"/>
                              </w:tcMar>
                              <w:hideMark/>
                            </w:tcPr>
                            <w:p w:rsidR="00B25309" w:rsidRDefault="00B25309">
                              <w:pPr>
                                <w:spacing w:line="254" w:lineRule="auto"/>
                                <w:rPr>
                                  <w:rFonts w:ascii="Times New Roman" w:hAnsi="Times New Roman"/>
                                  <w:sz w:val="24"/>
                                  <w:szCs w:val="24"/>
                                </w:rPr>
                              </w:pPr>
                              <w:r>
                                <w:rPr>
                                  <w:rFonts w:ascii="Times New Roman" w:hAnsi="Times New Roman"/>
                                  <w:noProof/>
                                  <w:sz w:val="24"/>
                                  <w:szCs w:val="24"/>
                                </w:rPr>
                                <w:drawing>
                                  <wp:inline distT="0" distB="0" distL="0" distR="0">
                                    <wp:extent cx="2095500" cy="1314450"/>
                                    <wp:effectExtent l="0" t="0" r="0" b="0"/>
                                    <wp:docPr id="5" name="Picture 5" descr="cid:image002.gif@01D15E86.DE0C4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D15E86.DE0C46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95500" cy="1314450"/>
                                            </a:xfrm>
                                            <a:prstGeom prst="rect">
                                              <a:avLst/>
                                            </a:prstGeom>
                                            <a:noFill/>
                                            <a:ln>
                                              <a:noFill/>
                                            </a:ln>
                                          </pic:spPr>
                                        </pic:pic>
                                      </a:graphicData>
                                    </a:graphic>
                                  </wp:inline>
                                </w:drawing>
                              </w:r>
                            </w:p>
                          </w:tc>
                        </w:tr>
                      </w:tbl>
                      <w:p w:rsidR="00B25309" w:rsidRDefault="00B25309">
                        <w:pPr>
                          <w:rPr>
                            <w:rFonts w:asciiTheme="minorHAnsi" w:hAnsiTheme="minorHAnsi"/>
                          </w:rPr>
                        </w:pPr>
                      </w:p>
                    </w:tc>
                  </w:tr>
                  <w:tr w:rsidR="00B25309">
                    <w:tc>
                      <w:tcPr>
                        <w:tcW w:w="9600" w:type="dxa"/>
                        <w:tcMar>
                          <w:top w:w="225" w:type="dxa"/>
                          <w:left w:w="675" w:type="dxa"/>
                          <w:bottom w:w="0" w:type="dxa"/>
                          <w:right w:w="600" w:type="dxa"/>
                        </w:tcMar>
                        <w:hideMark/>
                      </w:tcPr>
                      <w:p w:rsidR="00B25309" w:rsidRDefault="00B25309">
                        <w:pPr>
                          <w:spacing w:line="270" w:lineRule="atLeast"/>
                          <w:rPr>
                            <w:rFonts w:ascii="Arial" w:hAnsi="Arial" w:cs="Arial"/>
                            <w:color w:val="63666A"/>
                            <w:sz w:val="20"/>
                            <w:szCs w:val="20"/>
                          </w:rPr>
                        </w:pPr>
                        <w:r>
                          <w:rPr>
                            <w:rFonts w:ascii="Arial" w:hAnsi="Arial" w:cs="Arial"/>
                            <w:b/>
                            <w:bCs/>
                            <w:color w:val="63666A"/>
                            <w:sz w:val="20"/>
                            <w:szCs w:val="20"/>
                          </w:rPr>
                          <w:t>Key Dates</w:t>
                        </w:r>
                      </w:p>
                    </w:tc>
                  </w:tr>
                  <w:tr w:rsidR="00B25309">
                    <w:tc>
                      <w:tcPr>
                        <w:tcW w:w="9600" w:type="dxa"/>
                        <w:tcMar>
                          <w:top w:w="75" w:type="dxa"/>
                          <w:left w:w="675" w:type="dxa"/>
                          <w:bottom w:w="0" w:type="dxa"/>
                          <w:right w:w="600" w:type="dxa"/>
                        </w:tcMar>
                      </w:tcPr>
                      <w:p w:rsidR="00B25309" w:rsidRDefault="00B25309">
                        <w:pPr>
                          <w:spacing w:line="270" w:lineRule="atLeast"/>
                          <w:rPr>
                            <w:rFonts w:ascii="Arial" w:hAnsi="Arial" w:cs="Arial"/>
                            <w:color w:val="63666A"/>
                            <w:sz w:val="20"/>
                            <w:szCs w:val="20"/>
                          </w:rPr>
                        </w:pPr>
                        <w:r>
                          <w:rPr>
                            <w:rFonts w:ascii="Arial" w:hAnsi="Arial" w:cs="Arial"/>
                            <w:b/>
                            <w:bCs/>
                            <w:color w:val="63666A"/>
                            <w:sz w:val="20"/>
                            <w:szCs w:val="20"/>
                          </w:rPr>
                          <w:t>February 29, 2016:</w:t>
                        </w:r>
                        <w:r>
                          <w:rPr>
                            <w:rFonts w:ascii="Arial" w:hAnsi="Arial" w:cs="Arial"/>
                            <w:color w:val="63666A"/>
                            <w:sz w:val="20"/>
                            <w:szCs w:val="20"/>
                          </w:rPr>
                          <w:t xml:space="preserve"> Your current card will work through the end of this day. After this date, your current card will no longer work and transactions will decline.</w:t>
                        </w:r>
                        <w:r>
                          <w:rPr>
                            <w:rFonts w:ascii="Arial" w:hAnsi="Arial" w:cs="Arial"/>
                            <w:color w:val="63666A"/>
                            <w:sz w:val="20"/>
                            <w:szCs w:val="20"/>
                          </w:rPr>
                          <w:br/>
                        </w:r>
                        <w:r>
                          <w:rPr>
                            <w:rFonts w:ascii="Arial" w:hAnsi="Arial" w:cs="Arial"/>
                            <w:b/>
                            <w:bCs/>
                            <w:color w:val="63666A"/>
                            <w:sz w:val="20"/>
                            <w:szCs w:val="20"/>
                          </w:rPr>
                          <w:t>March 1, 2016:</w:t>
                        </w:r>
                        <w:r>
                          <w:rPr>
                            <w:rFonts w:ascii="Arial" w:hAnsi="Arial" w:cs="Arial"/>
                            <w:color w:val="63666A"/>
                            <w:sz w:val="20"/>
                            <w:szCs w:val="20"/>
                          </w:rPr>
                          <w:t xml:space="preserve"> There will be a mandatory 1-day period when neither card will work.</w:t>
                        </w:r>
                        <w:r>
                          <w:rPr>
                            <w:rFonts w:ascii="Arial" w:hAnsi="Arial" w:cs="Arial"/>
                            <w:color w:val="63666A"/>
                            <w:sz w:val="20"/>
                            <w:szCs w:val="20"/>
                          </w:rPr>
                          <w:br/>
                        </w:r>
                        <w:r>
                          <w:rPr>
                            <w:rFonts w:ascii="Arial" w:hAnsi="Arial" w:cs="Arial"/>
                            <w:b/>
                            <w:bCs/>
                            <w:color w:val="63666A"/>
                            <w:sz w:val="20"/>
                            <w:szCs w:val="20"/>
                          </w:rPr>
                          <w:t>March 2, 2016:</w:t>
                        </w:r>
                        <w:r>
                          <w:rPr>
                            <w:rFonts w:ascii="Arial" w:hAnsi="Arial" w:cs="Arial"/>
                            <w:color w:val="63666A"/>
                            <w:sz w:val="20"/>
                            <w:szCs w:val="20"/>
                          </w:rPr>
                          <w:t xml:space="preserve"> You will be able to use your new </w:t>
                        </w:r>
                        <w:proofErr w:type="spellStart"/>
                        <w:r>
                          <w:rPr>
                            <w:rFonts w:ascii="Arial" w:hAnsi="Arial" w:cs="Arial"/>
                            <w:color w:val="63666A"/>
                            <w:sz w:val="20"/>
                            <w:szCs w:val="20"/>
                          </w:rPr>
                          <w:t>Optum</w:t>
                        </w:r>
                        <w:proofErr w:type="spellEnd"/>
                        <w:r>
                          <w:rPr>
                            <w:rFonts w:ascii="Arial" w:hAnsi="Arial" w:cs="Arial"/>
                            <w:color w:val="63666A"/>
                            <w:sz w:val="20"/>
                            <w:szCs w:val="20"/>
                          </w:rPr>
                          <w:t xml:space="preserve"> card beginning on this date.</w:t>
                        </w:r>
                      </w:p>
                      <w:p w:rsidR="00B25309" w:rsidRDefault="00B25309">
                        <w:pPr>
                          <w:spacing w:line="270" w:lineRule="atLeast"/>
                          <w:rPr>
                            <w:rFonts w:ascii="Arial" w:hAnsi="Arial" w:cs="Arial"/>
                            <w:color w:val="63666A"/>
                            <w:sz w:val="20"/>
                            <w:szCs w:val="20"/>
                          </w:rPr>
                        </w:pPr>
                      </w:p>
                      <w:p w:rsidR="00B25309" w:rsidRDefault="00B25309">
                        <w:pPr>
                          <w:spacing w:line="270" w:lineRule="atLeast"/>
                          <w:rPr>
                            <w:rFonts w:ascii="Arial" w:hAnsi="Arial" w:cs="Arial"/>
                            <w:b/>
                            <w:color w:val="63666A"/>
                            <w:sz w:val="20"/>
                            <w:szCs w:val="20"/>
                          </w:rPr>
                        </w:pPr>
                        <w:r>
                          <w:rPr>
                            <w:rFonts w:ascii="Arial" w:hAnsi="Arial" w:cs="Arial"/>
                            <w:b/>
                            <w:color w:val="63666A"/>
                            <w:sz w:val="20"/>
                            <w:szCs w:val="20"/>
                          </w:rPr>
                          <w:t xml:space="preserve">Note: Even if you currently have an </w:t>
                        </w:r>
                        <w:proofErr w:type="spellStart"/>
                        <w:r>
                          <w:rPr>
                            <w:rFonts w:ascii="Arial" w:hAnsi="Arial" w:cs="Arial"/>
                            <w:b/>
                            <w:color w:val="63666A"/>
                            <w:sz w:val="20"/>
                            <w:szCs w:val="20"/>
                          </w:rPr>
                          <w:t>Optum</w:t>
                        </w:r>
                        <w:proofErr w:type="spellEnd"/>
                        <w:r>
                          <w:rPr>
                            <w:rFonts w:ascii="Arial" w:hAnsi="Arial" w:cs="Arial"/>
                            <w:b/>
                            <w:color w:val="63666A"/>
                            <w:sz w:val="20"/>
                            <w:szCs w:val="20"/>
                          </w:rPr>
                          <w:t xml:space="preserve"> card, you will receive a new </w:t>
                        </w:r>
                        <w:proofErr w:type="spellStart"/>
                        <w:r>
                          <w:rPr>
                            <w:rFonts w:ascii="Arial" w:hAnsi="Arial" w:cs="Arial"/>
                            <w:b/>
                            <w:color w:val="63666A"/>
                            <w:sz w:val="20"/>
                            <w:szCs w:val="20"/>
                          </w:rPr>
                          <w:t>Optum</w:t>
                        </w:r>
                        <w:proofErr w:type="spellEnd"/>
                        <w:r>
                          <w:rPr>
                            <w:rFonts w:ascii="Arial" w:hAnsi="Arial" w:cs="Arial"/>
                            <w:b/>
                            <w:color w:val="63666A"/>
                            <w:sz w:val="20"/>
                            <w:szCs w:val="20"/>
                          </w:rPr>
                          <w:t xml:space="preserve"> card </w:t>
                        </w:r>
                      </w:p>
                    </w:tc>
                  </w:tr>
                  <w:tr w:rsidR="00B25309">
                    <w:tc>
                      <w:tcPr>
                        <w:tcW w:w="9600" w:type="dxa"/>
                        <w:tcMar>
                          <w:top w:w="225" w:type="dxa"/>
                          <w:left w:w="675" w:type="dxa"/>
                          <w:bottom w:w="0" w:type="dxa"/>
                          <w:right w:w="600" w:type="dxa"/>
                        </w:tcMar>
                        <w:hideMark/>
                      </w:tcPr>
                      <w:p w:rsidR="00B25309" w:rsidRDefault="00B25309">
                        <w:pPr>
                          <w:spacing w:line="270" w:lineRule="atLeast"/>
                          <w:rPr>
                            <w:rFonts w:ascii="Arial" w:hAnsi="Arial" w:cs="Arial"/>
                            <w:color w:val="63666A"/>
                            <w:sz w:val="20"/>
                            <w:szCs w:val="20"/>
                          </w:rPr>
                        </w:pPr>
                        <w:r>
                          <w:rPr>
                            <w:rFonts w:ascii="Arial" w:hAnsi="Arial" w:cs="Arial"/>
                            <w:color w:val="63666A"/>
                            <w:sz w:val="20"/>
                            <w:szCs w:val="20"/>
                          </w:rPr>
                          <w:t xml:space="preserve">A list of Frequently Asked Questions (FAQs) about the new card is attached to this email. These key dates, as well as the list of FAQs, will also be available when you log in to your account at </w:t>
                        </w:r>
                        <w:hyperlink r:id="rId8" w:tgtFrame="_blank" w:history="1">
                          <w:r>
                            <w:rPr>
                              <w:rStyle w:val="Hyperlink"/>
                              <w:rFonts w:ascii="Arial" w:hAnsi="Arial" w:cs="Arial"/>
                              <w:color w:val="63666A"/>
                              <w:sz w:val="20"/>
                              <w:szCs w:val="20"/>
                            </w:rPr>
                            <w:t>www.MyCDH.Optum.com</w:t>
                          </w:r>
                        </w:hyperlink>
                        <w:r>
                          <w:rPr>
                            <w:rFonts w:ascii="Arial" w:hAnsi="Arial" w:cs="Arial"/>
                            <w:color w:val="63666A"/>
                            <w:sz w:val="20"/>
                            <w:szCs w:val="20"/>
                          </w:rPr>
                          <w:t>.</w:t>
                        </w:r>
                      </w:p>
                    </w:tc>
                  </w:tr>
                  <w:tr w:rsidR="00B25309">
                    <w:tc>
                      <w:tcPr>
                        <w:tcW w:w="9600" w:type="dxa"/>
                        <w:tcMar>
                          <w:top w:w="225" w:type="dxa"/>
                          <w:left w:w="675" w:type="dxa"/>
                          <w:bottom w:w="0" w:type="dxa"/>
                          <w:right w:w="600" w:type="dxa"/>
                        </w:tcMar>
                        <w:hideMark/>
                      </w:tcPr>
                      <w:p w:rsidR="00B25309" w:rsidRDefault="00B25309">
                        <w:pPr>
                          <w:spacing w:line="270" w:lineRule="atLeast"/>
                          <w:rPr>
                            <w:rFonts w:ascii="Arial" w:hAnsi="Arial" w:cs="Arial"/>
                            <w:b/>
                            <w:bCs/>
                            <w:color w:val="63666A"/>
                            <w:sz w:val="20"/>
                            <w:szCs w:val="20"/>
                          </w:rPr>
                        </w:pPr>
                        <w:r>
                          <w:rPr>
                            <w:rFonts w:ascii="Arial" w:hAnsi="Arial" w:cs="Arial"/>
                            <w:b/>
                            <w:bCs/>
                            <w:color w:val="63666A"/>
                            <w:sz w:val="20"/>
                            <w:szCs w:val="20"/>
                          </w:rPr>
                          <w:t xml:space="preserve">New </w:t>
                        </w:r>
                        <w:proofErr w:type="spellStart"/>
                        <w:r>
                          <w:rPr>
                            <w:rFonts w:ascii="Arial" w:hAnsi="Arial" w:cs="Arial"/>
                            <w:b/>
                            <w:bCs/>
                            <w:color w:val="63666A"/>
                            <w:sz w:val="20"/>
                            <w:szCs w:val="20"/>
                          </w:rPr>
                          <w:t>MyCDH</w:t>
                        </w:r>
                        <w:proofErr w:type="spellEnd"/>
                        <w:r>
                          <w:rPr>
                            <w:rFonts w:ascii="Arial" w:hAnsi="Arial" w:cs="Arial"/>
                            <w:b/>
                            <w:bCs/>
                            <w:color w:val="63666A"/>
                            <w:sz w:val="20"/>
                            <w:szCs w:val="20"/>
                          </w:rPr>
                          <w:t xml:space="preserve"> by </w:t>
                        </w:r>
                        <w:proofErr w:type="spellStart"/>
                        <w:r>
                          <w:rPr>
                            <w:rFonts w:ascii="Arial" w:hAnsi="Arial" w:cs="Arial"/>
                            <w:b/>
                            <w:bCs/>
                            <w:color w:val="63666A"/>
                            <w:sz w:val="20"/>
                            <w:szCs w:val="20"/>
                          </w:rPr>
                          <w:t>Optum</w:t>
                        </w:r>
                        <w:proofErr w:type="spellEnd"/>
                        <w:r>
                          <w:rPr>
                            <w:rFonts w:ascii="Arial" w:hAnsi="Arial" w:cs="Arial"/>
                            <w:b/>
                            <w:bCs/>
                            <w:color w:val="63666A"/>
                            <w:sz w:val="20"/>
                            <w:szCs w:val="20"/>
                          </w:rPr>
                          <w:t xml:space="preserve"> Mobile App coming soon!</w:t>
                        </w:r>
                      </w:p>
                    </w:tc>
                  </w:tr>
                  <w:tr w:rsidR="00B25309">
                    <w:tc>
                      <w:tcPr>
                        <w:tcW w:w="9600" w:type="dxa"/>
                        <w:tcMar>
                          <w:top w:w="75" w:type="dxa"/>
                          <w:left w:w="675" w:type="dxa"/>
                          <w:bottom w:w="0" w:type="dxa"/>
                          <w:right w:w="600" w:type="dxa"/>
                        </w:tcMar>
                        <w:hideMark/>
                      </w:tcPr>
                      <w:tbl>
                        <w:tblPr>
                          <w:tblW w:w="5000" w:type="pct"/>
                          <w:tblCellMar>
                            <w:left w:w="0" w:type="dxa"/>
                            <w:right w:w="0" w:type="dxa"/>
                          </w:tblCellMar>
                          <w:tblLook w:val="04A0" w:firstRow="1" w:lastRow="0" w:firstColumn="1" w:lastColumn="0" w:noHBand="0" w:noVBand="1"/>
                        </w:tblPr>
                        <w:tblGrid>
                          <w:gridCol w:w="5994"/>
                          <w:gridCol w:w="2331"/>
                        </w:tblGrid>
                        <w:tr w:rsidR="00B25309">
                          <w:tc>
                            <w:tcPr>
                              <w:tcW w:w="3600" w:type="pct"/>
                              <w:hideMark/>
                            </w:tcPr>
                            <w:p w:rsidR="00B25309" w:rsidRDefault="00B25309">
                              <w:pPr>
                                <w:spacing w:line="270" w:lineRule="atLeast"/>
                                <w:rPr>
                                  <w:rFonts w:ascii="Arial" w:hAnsi="Arial" w:cs="Arial"/>
                                  <w:color w:val="63666A"/>
                                  <w:sz w:val="20"/>
                                  <w:szCs w:val="20"/>
                                </w:rPr>
                              </w:pPr>
                              <w:r>
                                <w:rPr>
                                  <w:rFonts w:ascii="Arial" w:hAnsi="Arial" w:cs="Arial"/>
                                  <w:color w:val="63666A"/>
                                  <w:sz w:val="20"/>
                                  <w:szCs w:val="20"/>
                                </w:rPr>
                                <w:lastRenderedPageBreak/>
                                <w:t xml:space="preserve">The new </w:t>
                              </w:r>
                              <w:proofErr w:type="spellStart"/>
                              <w:r>
                                <w:rPr>
                                  <w:rFonts w:ascii="Arial" w:hAnsi="Arial" w:cs="Arial"/>
                                  <w:b/>
                                  <w:bCs/>
                                  <w:color w:val="63666A"/>
                                  <w:sz w:val="20"/>
                                  <w:szCs w:val="20"/>
                                </w:rPr>
                                <w:t>MyCDH</w:t>
                              </w:r>
                              <w:proofErr w:type="spellEnd"/>
                              <w:r>
                                <w:rPr>
                                  <w:rFonts w:ascii="Arial" w:hAnsi="Arial" w:cs="Arial"/>
                                  <w:b/>
                                  <w:bCs/>
                                  <w:color w:val="63666A"/>
                                  <w:sz w:val="20"/>
                                  <w:szCs w:val="20"/>
                                </w:rPr>
                                <w:t xml:space="preserve"> by </w:t>
                              </w:r>
                              <w:proofErr w:type="spellStart"/>
                              <w:r>
                                <w:rPr>
                                  <w:rFonts w:ascii="Arial" w:hAnsi="Arial" w:cs="Arial"/>
                                  <w:b/>
                                  <w:bCs/>
                                  <w:color w:val="63666A"/>
                                  <w:sz w:val="20"/>
                                  <w:szCs w:val="20"/>
                                </w:rPr>
                                <w:t>Optum</w:t>
                              </w:r>
                              <w:proofErr w:type="spellEnd"/>
                              <w:r>
                                <w:rPr>
                                  <w:rFonts w:ascii="Arial" w:hAnsi="Arial" w:cs="Arial"/>
                                  <w:color w:val="63666A"/>
                                  <w:sz w:val="20"/>
                                  <w:szCs w:val="20"/>
                                </w:rPr>
                                <w:t xml:space="preserve"> mobile app will be available for download for Android the week of February 8th and iOS (Apple) the week of February 15th. Take advantage of our industry-leading mobile app for your Apple and Android devices available in iTunes and Google Play store. Access your accounts and enjoy new contribution, claim and reimbursement features from anywhere. Data fees and usage rates may apply check with your cellular phone service provider.</w:t>
                              </w:r>
                            </w:p>
                          </w:tc>
                          <w:tc>
                            <w:tcPr>
                              <w:tcW w:w="1400" w:type="pct"/>
                              <w:tcMar>
                                <w:top w:w="0" w:type="dxa"/>
                                <w:left w:w="450" w:type="dxa"/>
                                <w:bottom w:w="0" w:type="dxa"/>
                                <w:right w:w="0" w:type="dxa"/>
                              </w:tcMar>
                              <w:hideMark/>
                            </w:tcPr>
                            <w:p w:rsidR="00B25309" w:rsidRDefault="00B25309">
                              <w:pPr>
                                <w:spacing w:line="254" w:lineRule="auto"/>
                                <w:rPr>
                                  <w:rFonts w:ascii="Times New Roman" w:hAnsi="Times New Roman"/>
                                  <w:sz w:val="24"/>
                                  <w:szCs w:val="24"/>
                                </w:rPr>
                              </w:pPr>
                              <w:r>
                                <w:rPr>
                                  <w:rFonts w:ascii="Times New Roman" w:hAnsi="Times New Roman"/>
                                  <w:noProof/>
                                  <w:sz w:val="24"/>
                                  <w:szCs w:val="24"/>
                                </w:rPr>
                                <w:drawing>
                                  <wp:inline distT="0" distB="0" distL="0" distR="0">
                                    <wp:extent cx="1057275" cy="1057275"/>
                                    <wp:effectExtent l="0" t="0" r="9525" b="9525"/>
                                    <wp:docPr id="4" name="Picture 4" descr="cid:image003.gif@01D15E86.DE0C4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gif@01D15E86.DE0C46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c>
                        </w:tr>
                      </w:tbl>
                      <w:p w:rsidR="00B25309" w:rsidRDefault="00B25309">
                        <w:pPr>
                          <w:rPr>
                            <w:rFonts w:asciiTheme="minorHAnsi" w:hAnsiTheme="minorHAnsi"/>
                          </w:rPr>
                        </w:pPr>
                      </w:p>
                    </w:tc>
                  </w:tr>
                  <w:tr w:rsidR="00B25309">
                    <w:tc>
                      <w:tcPr>
                        <w:tcW w:w="9600" w:type="dxa"/>
                        <w:tcMar>
                          <w:top w:w="225" w:type="dxa"/>
                          <w:left w:w="675" w:type="dxa"/>
                          <w:bottom w:w="0" w:type="dxa"/>
                          <w:right w:w="600" w:type="dxa"/>
                        </w:tcMar>
                      </w:tcPr>
                      <w:p w:rsidR="00B25309" w:rsidRDefault="00B25309">
                        <w:pPr>
                          <w:spacing w:line="270" w:lineRule="atLeast"/>
                          <w:rPr>
                            <w:rFonts w:ascii="Arial" w:hAnsi="Arial" w:cs="Arial"/>
                            <w:b/>
                            <w:bCs/>
                            <w:color w:val="63666A"/>
                            <w:sz w:val="20"/>
                            <w:szCs w:val="20"/>
                          </w:rPr>
                        </w:pPr>
                      </w:p>
                      <w:p w:rsidR="00B25309" w:rsidRDefault="00B25309">
                        <w:pPr>
                          <w:spacing w:line="270" w:lineRule="atLeast"/>
                          <w:rPr>
                            <w:rFonts w:ascii="Arial" w:hAnsi="Arial" w:cs="Arial"/>
                            <w:b/>
                            <w:bCs/>
                            <w:color w:val="63666A"/>
                            <w:sz w:val="20"/>
                            <w:szCs w:val="20"/>
                          </w:rPr>
                        </w:pPr>
                      </w:p>
                      <w:p w:rsidR="00B25309" w:rsidRDefault="00B25309">
                        <w:pPr>
                          <w:spacing w:line="270" w:lineRule="atLeast"/>
                          <w:rPr>
                            <w:rFonts w:ascii="Arial" w:hAnsi="Arial" w:cs="Arial"/>
                            <w:b/>
                            <w:bCs/>
                            <w:color w:val="63666A"/>
                            <w:sz w:val="20"/>
                            <w:szCs w:val="20"/>
                          </w:rPr>
                        </w:pPr>
                      </w:p>
                      <w:p w:rsidR="00B25309" w:rsidRDefault="00B25309">
                        <w:pPr>
                          <w:spacing w:line="270" w:lineRule="atLeast"/>
                          <w:rPr>
                            <w:rFonts w:ascii="Arial" w:hAnsi="Arial" w:cs="Arial"/>
                            <w:b/>
                            <w:bCs/>
                            <w:color w:val="63666A"/>
                            <w:sz w:val="20"/>
                            <w:szCs w:val="20"/>
                          </w:rPr>
                        </w:pPr>
                      </w:p>
                      <w:p w:rsidR="00B25309" w:rsidRDefault="00B25309">
                        <w:pPr>
                          <w:spacing w:line="270" w:lineRule="atLeast"/>
                          <w:rPr>
                            <w:rFonts w:ascii="Arial" w:hAnsi="Arial" w:cs="Arial"/>
                            <w:b/>
                            <w:bCs/>
                            <w:color w:val="63666A"/>
                            <w:sz w:val="20"/>
                            <w:szCs w:val="20"/>
                          </w:rPr>
                        </w:pPr>
                        <w:r>
                          <w:rPr>
                            <w:rFonts w:ascii="Arial" w:hAnsi="Arial" w:cs="Arial"/>
                            <w:b/>
                            <w:bCs/>
                            <w:color w:val="63666A"/>
                            <w:sz w:val="20"/>
                            <w:szCs w:val="20"/>
                          </w:rPr>
                          <w:t>Questions?</w:t>
                        </w:r>
                      </w:p>
                    </w:tc>
                  </w:tr>
                  <w:tr w:rsidR="00B25309">
                    <w:tc>
                      <w:tcPr>
                        <w:tcW w:w="9600" w:type="dxa"/>
                        <w:tcMar>
                          <w:top w:w="75" w:type="dxa"/>
                          <w:left w:w="675" w:type="dxa"/>
                          <w:bottom w:w="0" w:type="dxa"/>
                          <w:right w:w="600" w:type="dxa"/>
                        </w:tcMar>
                        <w:hideMark/>
                      </w:tcPr>
                      <w:p w:rsidR="00B25309" w:rsidRDefault="00B25309">
                        <w:pPr>
                          <w:spacing w:line="270" w:lineRule="atLeast"/>
                          <w:rPr>
                            <w:rFonts w:ascii="Arial" w:hAnsi="Arial" w:cs="Arial"/>
                            <w:color w:val="63666A"/>
                            <w:sz w:val="20"/>
                            <w:szCs w:val="20"/>
                          </w:rPr>
                        </w:pPr>
                        <w:r>
                          <w:rPr>
                            <w:rFonts w:ascii="Arial" w:hAnsi="Arial" w:cs="Arial"/>
                            <w:color w:val="63666A"/>
                            <w:sz w:val="20"/>
                            <w:szCs w:val="20"/>
                          </w:rPr>
                          <w:t>If you have additional questions regarding your new card, please contact Customer Service using the phone number on the back of your payment card (this phone number will not be changing). Representatives are available Monday through Friday, 8 am – 8 pm ET.</w:t>
                        </w:r>
                      </w:p>
                    </w:tc>
                  </w:tr>
                  <w:tr w:rsidR="00B25309">
                    <w:tc>
                      <w:tcPr>
                        <w:tcW w:w="9600" w:type="dxa"/>
                        <w:tcMar>
                          <w:top w:w="225" w:type="dxa"/>
                          <w:left w:w="675" w:type="dxa"/>
                          <w:bottom w:w="0" w:type="dxa"/>
                          <w:right w:w="600" w:type="dxa"/>
                        </w:tcMar>
                        <w:hideMark/>
                      </w:tcPr>
                      <w:p w:rsidR="00B25309" w:rsidRDefault="00B25309">
                        <w:pPr>
                          <w:spacing w:line="270" w:lineRule="atLeast"/>
                          <w:rPr>
                            <w:rFonts w:ascii="Arial" w:hAnsi="Arial" w:cs="Arial"/>
                            <w:color w:val="63666A"/>
                            <w:sz w:val="20"/>
                            <w:szCs w:val="20"/>
                          </w:rPr>
                        </w:pPr>
                        <w:r>
                          <w:rPr>
                            <w:rFonts w:ascii="Arial" w:hAnsi="Arial" w:cs="Arial"/>
                            <w:color w:val="63666A"/>
                            <w:sz w:val="20"/>
                            <w:szCs w:val="20"/>
                          </w:rPr>
                          <w:t>We are excited about this transition and look forward to helping you make the most of the account as you plan, save and pay for health care.</w:t>
                        </w:r>
                      </w:p>
                    </w:tc>
                  </w:tr>
                  <w:tr w:rsidR="00B25309">
                    <w:tc>
                      <w:tcPr>
                        <w:tcW w:w="9600" w:type="dxa"/>
                        <w:tcMar>
                          <w:top w:w="225" w:type="dxa"/>
                          <w:left w:w="675" w:type="dxa"/>
                          <w:bottom w:w="300" w:type="dxa"/>
                          <w:right w:w="600" w:type="dxa"/>
                        </w:tcMar>
                        <w:hideMark/>
                      </w:tcPr>
                      <w:p w:rsidR="00B25309" w:rsidRDefault="00B25309">
                        <w:pPr>
                          <w:spacing w:line="270" w:lineRule="atLeast"/>
                          <w:rPr>
                            <w:rFonts w:ascii="Arial" w:hAnsi="Arial" w:cs="Arial"/>
                            <w:color w:val="63666A"/>
                            <w:sz w:val="20"/>
                            <w:szCs w:val="20"/>
                          </w:rPr>
                        </w:pPr>
                        <w:r>
                          <w:rPr>
                            <w:rFonts w:ascii="Arial" w:hAnsi="Arial" w:cs="Arial"/>
                            <w:color w:val="63666A"/>
                            <w:sz w:val="20"/>
                            <w:szCs w:val="20"/>
                          </w:rPr>
                          <w:t>Sincerely,</w:t>
                        </w:r>
                        <w:r>
                          <w:rPr>
                            <w:rFonts w:ascii="Arial" w:hAnsi="Arial" w:cs="Arial"/>
                            <w:color w:val="63666A"/>
                            <w:sz w:val="20"/>
                            <w:szCs w:val="20"/>
                          </w:rPr>
                          <w:br/>
                        </w:r>
                        <w:proofErr w:type="spellStart"/>
                        <w:r>
                          <w:rPr>
                            <w:rFonts w:ascii="Arial" w:hAnsi="Arial" w:cs="Arial"/>
                            <w:color w:val="63666A"/>
                            <w:sz w:val="20"/>
                            <w:szCs w:val="20"/>
                          </w:rPr>
                          <w:t>OptumHealth</w:t>
                        </w:r>
                        <w:proofErr w:type="spellEnd"/>
                        <w:r>
                          <w:rPr>
                            <w:rFonts w:ascii="Arial" w:hAnsi="Arial" w:cs="Arial"/>
                            <w:color w:val="63666A"/>
                            <w:sz w:val="20"/>
                            <w:szCs w:val="20"/>
                          </w:rPr>
                          <w:t xml:space="preserve"> Financial Services </w:t>
                        </w:r>
                      </w:p>
                    </w:tc>
                  </w:tr>
                </w:tbl>
                <w:p w:rsidR="00B25309" w:rsidRDefault="00B25309">
                  <w:pPr>
                    <w:rPr>
                      <w:rFonts w:asciiTheme="minorHAnsi" w:hAnsiTheme="minorHAnsi"/>
                    </w:rPr>
                  </w:pPr>
                </w:p>
              </w:tc>
            </w:tr>
          </w:tbl>
          <w:p w:rsidR="00B25309" w:rsidRDefault="00B25309"/>
        </w:tc>
      </w:tr>
      <w:tr w:rsidR="00B25309" w:rsidTr="00B25309">
        <w:trPr>
          <w:jc w:val="center"/>
        </w:trPr>
        <w:tc>
          <w:tcPr>
            <w:tcW w:w="9600" w:type="dxa"/>
            <w:tcMar>
              <w:top w:w="15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600"/>
            </w:tblGrid>
            <w:tr w:rsidR="00B25309">
              <w:tc>
                <w:tcPr>
                  <w:tcW w:w="9000" w:type="dxa"/>
                  <w:shd w:val="clear" w:color="auto" w:fill="D0D0CE"/>
                  <w:tcMar>
                    <w:top w:w="180" w:type="dxa"/>
                    <w:left w:w="300" w:type="dxa"/>
                    <w:bottom w:w="0" w:type="dxa"/>
                    <w:right w:w="300" w:type="dxa"/>
                  </w:tcMar>
                  <w:hideMark/>
                </w:tcPr>
                <w:p w:rsidR="00B25309" w:rsidRDefault="00B25309">
                  <w:pPr>
                    <w:spacing w:line="195" w:lineRule="atLeast"/>
                    <w:rPr>
                      <w:rFonts w:ascii="Arial" w:hAnsi="Arial" w:cs="Arial"/>
                      <w:color w:val="444444"/>
                      <w:sz w:val="17"/>
                      <w:szCs w:val="17"/>
                    </w:rPr>
                  </w:pPr>
                  <w:r>
                    <w:rPr>
                      <w:rFonts w:ascii="Arial" w:hAnsi="Arial" w:cs="Arial"/>
                      <w:color w:val="444444"/>
                      <w:sz w:val="17"/>
                      <w:szCs w:val="17"/>
                    </w:rPr>
                    <w:lastRenderedPageBreak/>
                    <w:t xml:space="preserve">11000 </w:t>
                  </w:r>
                  <w:proofErr w:type="spellStart"/>
                  <w:r>
                    <w:rPr>
                      <w:rFonts w:ascii="Arial" w:hAnsi="Arial" w:cs="Arial"/>
                      <w:color w:val="444444"/>
                      <w:sz w:val="17"/>
                      <w:szCs w:val="17"/>
                    </w:rPr>
                    <w:t>Optum</w:t>
                  </w:r>
                  <w:proofErr w:type="spellEnd"/>
                  <w:r>
                    <w:rPr>
                      <w:rFonts w:ascii="Arial" w:hAnsi="Arial" w:cs="Arial"/>
                      <w:color w:val="444444"/>
                      <w:sz w:val="17"/>
                      <w:szCs w:val="17"/>
                    </w:rPr>
                    <w:t xml:space="preserve"> Circle, Eden Prairie, MN 55344</w:t>
                  </w:r>
                </w:p>
              </w:tc>
            </w:tr>
            <w:tr w:rsidR="00B25309">
              <w:tc>
                <w:tcPr>
                  <w:tcW w:w="9000" w:type="dxa"/>
                  <w:shd w:val="clear" w:color="auto" w:fill="D0D0CE"/>
                  <w:tcMar>
                    <w:top w:w="180" w:type="dxa"/>
                    <w:left w:w="300" w:type="dxa"/>
                    <w:bottom w:w="0" w:type="dxa"/>
                    <w:right w:w="300" w:type="dxa"/>
                  </w:tcMar>
                  <w:hideMark/>
                </w:tcPr>
                <w:p w:rsidR="00B25309" w:rsidRDefault="00B25309">
                  <w:pPr>
                    <w:spacing w:line="195" w:lineRule="atLeast"/>
                    <w:rPr>
                      <w:rFonts w:ascii="Arial" w:hAnsi="Arial" w:cs="Arial"/>
                      <w:color w:val="444444"/>
                      <w:sz w:val="17"/>
                      <w:szCs w:val="17"/>
                    </w:rPr>
                  </w:pPr>
                  <w:proofErr w:type="spellStart"/>
                  <w:r>
                    <w:rPr>
                      <w:rFonts w:ascii="Arial" w:hAnsi="Arial" w:cs="Arial"/>
                      <w:color w:val="444444"/>
                      <w:sz w:val="17"/>
                      <w:szCs w:val="17"/>
                    </w:rPr>
                    <w:t>Optum</w:t>
                  </w:r>
                  <w:proofErr w:type="spellEnd"/>
                  <w:r>
                    <w:rPr>
                      <w:rFonts w:ascii="Arial" w:hAnsi="Arial" w:cs="Arial"/>
                      <w:color w:val="444444"/>
                      <w:sz w:val="14"/>
                      <w:szCs w:val="14"/>
                      <w:vertAlign w:val="superscript"/>
                    </w:rPr>
                    <w:t>®</w:t>
                  </w:r>
                  <w:r>
                    <w:rPr>
                      <w:rFonts w:ascii="Arial" w:hAnsi="Arial" w:cs="Arial"/>
                      <w:color w:val="444444"/>
                      <w:sz w:val="17"/>
                      <w:szCs w:val="17"/>
                    </w:rPr>
                    <w:t xml:space="preserve"> and its respective marks are trademarks of </w:t>
                  </w:r>
                  <w:proofErr w:type="spellStart"/>
                  <w:r>
                    <w:rPr>
                      <w:rFonts w:ascii="Arial" w:hAnsi="Arial" w:cs="Arial"/>
                      <w:color w:val="444444"/>
                      <w:sz w:val="17"/>
                      <w:szCs w:val="17"/>
                    </w:rPr>
                    <w:t>Optum</w:t>
                  </w:r>
                  <w:proofErr w:type="spellEnd"/>
                  <w:r>
                    <w:rPr>
                      <w:rFonts w:ascii="Arial" w:hAnsi="Arial" w:cs="Arial"/>
                      <w:color w:val="444444"/>
                      <w:sz w:val="17"/>
                      <w:szCs w:val="17"/>
                    </w:rPr>
                    <w:t xml:space="preserve">, Inc. All other brand or product names are trademarks or registered marks of their respective owners. Because we are continuously improving our products and services, </w:t>
                  </w:r>
                  <w:proofErr w:type="spellStart"/>
                  <w:r>
                    <w:rPr>
                      <w:rFonts w:ascii="Arial" w:hAnsi="Arial" w:cs="Arial"/>
                      <w:color w:val="444444"/>
                      <w:sz w:val="17"/>
                      <w:szCs w:val="17"/>
                    </w:rPr>
                    <w:t>Optum</w:t>
                  </w:r>
                  <w:proofErr w:type="spellEnd"/>
                  <w:r>
                    <w:rPr>
                      <w:rFonts w:ascii="Arial" w:hAnsi="Arial" w:cs="Arial"/>
                      <w:color w:val="444444"/>
                      <w:sz w:val="17"/>
                      <w:szCs w:val="17"/>
                    </w:rPr>
                    <w:t xml:space="preserve"> reserves the right to change specifications without prior notice. </w:t>
                  </w:r>
                  <w:proofErr w:type="spellStart"/>
                  <w:r>
                    <w:rPr>
                      <w:rFonts w:ascii="Arial" w:hAnsi="Arial" w:cs="Arial"/>
                      <w:color w:val="444444"/>
                      <w:sz w:val="17"/>
                      <w:szCs w:val="17"/>
                    </w:rPr>
                    <w:t>Optum</w:t>
                  </w:r>
                  <w:proofErr w:type="spellEnd"/>
                  <w:r>
                    <w:rPr>
                      <w:rFonts w:ascii="Arial" w:hAnsi="Arial" w:cs="Arial"/>
                      <w:color w:val="444444"/>
                      <w:sz w:val="17"/>
                      <w:szCs w:val="17"/>
                    </w:rPr>
                    <w:t xml:space="preserve"> is an equal opportunity employer.</w:t>
                  </w:r>
                </w:p>
              </w:tc>
            </w:tr>
            <w:tr w:rsidR="00B25309">
              <w:tc>
                <w:tcPr>
                  <w:tcW w:w="9000" w:type="dxa"/>
                  <w:shd w:val="clear" w:color="auto" w:fill="D0D0CE"/>
                  <w:tcMar>
                    <w:top w:w="180" w:type="dxa"/>
                    <w:left w:w="300" w:type="dxa"/>
                    <w:bottom w:w="0" w:type="dxa"/>
                    <w:right w:w="300" w:type="dxa"/>
                  </w:tcMar>
                  <w:hideMark/>
                </w:tcPr>
                <w:p w:rsidR="00B25309" w:rsidRDefault="00B25309">
                  <w:pPr>
                    <w:spacing w:line="195" w:lineRule="atLeast"/>
                    <w:rPr>
                      <w:rFonts w:ascii="Arial" w:hAnsi="Arial" w:cs="Arial"/>
                      <w:color w:val="444444"/>
                      <w:sz w:val="17"/>
                      <w:szCs w:val="17"/>
                    </w:rPr>
                  </w:pPr>
                  <w:r>
                    <w:rPr>
                      <w:rFonts w:ascii="Arial" w:hAnsi="Arial" w:cs="Arial"/>
                      <w:color w:val="444444"/>
                      <w:sz w:val="17"/>
                      <w:szCs w:val="17"/>
                    </w:rPr>
                    <w:t xml:space="preserve">Health savings accounts (HSAs) are individual accounts offered by </w:t>
                  </w:r>
                  <w:proofErr w:type="spellStart"/>
                  <w:r>
                    <w:rPr>
                      <w:rFonts w:ascii="Arial" w:hAnsi="Arial" w:cs="Arial"/>
                      <w:color w:val="444444"/>
                      <w:sz w:val="17"/>
                      <w:szCs w:val="17"/>
                    </w:rPr>
                    <w:t>Optum</w:t>
                  </w:r>
                  <w:proofErr w:type="spellEnd"/>
                  <w:r>
                    <w:rPr>
                      <w:rFonts w:ascii="Arial" w:hAnsi="Arial" w:cs="Arial"/>
                      <w:color w:val="444444"/>
                      <w:sz w:val="17"/>
                      <w:szCs w:val="17"/>
                    </w:rPr>
                    <w:t xml:space="preserve"> Bank</w:t>
                  </w:r>
                  <w:r>
                    <w:rPr>
                      <w:rFonts w:ascii="Arial" w:hAnsi="Arial" w:cs="Arial"/>
                      <w:color w:val="444444"/>
                      <w:sz w:val="14"/>
                      <w:szCs w:val="14"/>
                      <w:vertAlign w:val="superscript"/>
                    </w:rPr>
                    <w:t>®</w:t>
                  </w:r>
                  <w:r>
                    <w:rPr>
                      <w:rFonts w:ascii="Arial" w:hAnsi="Arial" w:cs="Arial"/>
                      <w:color w:val="444444"/>
                      <w:sz w:val="17"/>
                      <w:szCs w:val="17"/>
                    </w:rPr>
                    <w:t xml:space="preserve">, Member FDIC, and are subject to eligibility requirements and restrictions on deposits and withdrawals to avoid IRS penalties. State taxes may apply. Fees may reduce earnings on account. Flexible spending accounts (FSAs) and health reimbursement accounts (HRAs) are administered by </w:t>
                  </w:r>
                  <w:proofErr w:type="spellStart"/>
                  <w:r>
                    <w:rPr>
                      <w:rFonts w:ascii="Arial" w:hAnsi="Arial" w:cs="Arial"/>
                      <w:color w:val="444444"/>
                      <w:sz w:val="17"/>
                      <w:szCs w:val="17"/>
                    </w:rPr>
                    <w:t>OptumHealth</w:t>
                  </w:r>
                  <w:proofErr w:type="spellEnd"/>
                  <w:r>
                    <w:rPr>
                      <w:rFonts w:ascii="Arial" w:hAnsi="Arial" w:cs="Arial"/>
                      <w:color w:val="444444"/>
                      <w:sz w:val="17"/>
                      <w:szCs w:val="17"/>
                    </w:rPr>
                    <w:t xml:space="preserve"> Financial Services and are subject to eligibility and restrictions. The content on this website is not intended as legal or tax advice.</w:t>
                  </w:r>
                </w:p>
              </w:tc>
            </w:tr>
            <w:tr w:rsidR="00B25309">
              <w:tc>
                <w:tcPr>
                  <w:tcW w:w="9000" w:type="dxa"/>
                  <w:shd w:val="clear" w:color="auto" w:fill="D0D0CE"/>
                  <w:tcMar>
                    <w:top w:w="180" w:type="dxa"/>
                    <w:left w:w="300" w:type="dxa"/>
                    <w:bottom w:w="0" w:type="dxa"/>
                    <w:right w:w="300" w:type="dxa"/>
                  </w:tcMar>
                  <w:hideMark/>
                </w:tcPr>
                <w:p w:rsidR="00B25309" w:rsidRDefault="00B25309">
                  <w:pPr>
                    <w:spacing w:line="195" w:lineRule="atLeast"/>
                    <w:rPr>
                      <w:rFonts w:ascii="Arial" w:hAnsi="Arial" w:cs="Arial"/>
                      <w:color w:val="444444"/>
                      <w:sz w:val="17"/>
                      <w:szCs w:val="17"/>
                    </w:rPr>
                  </w:pPr>
                  <w:r>
                    <w:rPr>
                      <w:rFonts w:ascii="Arial" w:hAnsi="Arial" w:cs="Arial"/>
                      <w:color w:val="444444"/>
                      <w:sz w:val="17"/>
                      <w:szCs w:val="17"/>
                    </w:rPr>
                    <w:t xml:space="preserve">Click </w:t>
                  </w:r>
                  <w:hyperlink r:id="rId11" w:tgtFrame="_blank" w:history="1">
                    <w:r>
                      <w:rPr>
                        <w:rStyle w:val="Hyperlink"/>
                        <w:rFonts w:ascii="Arial" w:hAnsi="Arial" w:cs="Arial"/>
                        <w:color w:val="444444"/>
                        <w:sz w:val="17"/>
                        <w:szCs w:val="17"/>
                      </w:rPr>
                      <w:t>here</w:t>
                    </w:r>
                  </w:hyperlink>
                  <w:r>
                    <w:rPr>
                      <w:rFonts w:ascii="Arial" w:hAnsi="Arial" w:cs="Arial"/>
                      <w:color w:val="444444"/>
                      <w:sz w:val="17"/>
                      <w:szCs w:val="17"/>
                    </w:rPr>
                    <w:t xml:space="preserve"> to unsubscribe.</w:t>
                  </w:r>
                </w:p>
              </w:tc>
            </w:tr>
            <w:tr w:rsidR="00B25309">
              <w:tc>
                <w:tcPr>
                  <w:tcW w:w="9000" w:type="dxa"/>
                  <w:shd w:val="clear" w:color="auto" w:fill="D0D0CE"/>
                  <w:tcMar>
                    <w:top w:w="180" w:type="dxa"/>
                    <w:left w:w="300" w:type="dxa"/>
                    <w:bottom w:w="150" w:type="dxa"/>
                    <w:right w:w="300" w:type="dxa"/>
                  </w:tcMar>
                  <w:hideMark/>
                </w:tcPr>
                <w:p w:rsidR="00B25309" w:rsidRDefault="00B25309">
                  <w:pPr>
                    <w:spacing w:line="195" w:lineRule="atLeast"/>
                    <w:rPr>
                      <w:rFonts w:ascii="Arial" w:hAnsi="Arial" w:cs="Arial"/>
                      <w:color w:val="444444"/>
                      <w:sz w:val="17"/>
                      <w:szCs w:val="17"/>
                    </w:rPr>
                  </w:pPr>
                  <w:r>
                    <w:rPr>
                      <w:rFonts w:ascii="Arial" w:hAnsi="Arial" w:cs="Arial"/>
                      <w:color w:val="444444"/>
                      <w:sz w:val="17"/>
                      <w:szCs w:val="17"/>
                    </w:rPr>
                    <w:t xml:space="preserve">© 2016 </w:t>
                  </w:r>
                  <w:proofErr w:type="spellStart"/>
                  <w:r>
                    <w:rPr>
                      <w:rFonts w:ascii="Arial" w:hAnsi="Arial" w:cs="Arial"/>
                      <w:color w:val="444444"/>
                      <w:sz w:val="17"/>
                      <w:szCs w:val="17"/>
                    </w:rPr>
                    <w:t>Optum</w:t>
                  </w:r>
                  <w:proofErr w:type="spellEnd"/>
                  <w:r>
                    <w:rPr>
                      <w:rFonts w:ascii="Arial" w:hAnsi="Arial" w:cs="Arial"/>
                      <w:color w:val="444444"/>
                      <w:sz w:val="17"/>
                      <w:szCs w:val="17"/>
                    </w:rPr>
                    <w:t>, Inc. All rights reserved. A14778 53507-012016</w:t>
                  </w:r>
                </w:p>
              </w:tc>
            </w:tr>
          </w:tbl>
          <w:p w:rsidR="00B25309" w:rsidRDefault="00B25309">
            <w:pPr>
              <w:rPr>
                <w:rFonts w:asciiTheme="minorHAnsi" w:hAnsiTheme="minorHAnsi"/>
              </w:rPr>
            </w:pPr>
          </w:p>
        </w:tc>
      </w:tr>
    </w:tbl>
    <w:p w:rsidR="007838C1" w:rsidRPr="00B25309" w:rsidRDefault="007838C1" w:rsidP="00B25309"/>
    <w:sectPr w:rsidR="007838C1" w:rsidRPr="00B25309" w:rsidSect="00041E93">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93"/>
    <w:rsid w:val="00041E93"/>
    <w:rsid w:val="00351454"/>
    <w:rsid w:val="0038354C"/>
    <w:rsid w:val="007838C1"/>
    <w:rsid w:val="00926902"/>
    <w:rsid w:val="00B2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1FC31-8AE2-4009-B143-6C862C71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E9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1E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53586">
      <w:bodyDiv w:val="1"/>
      <w:marLeft w:val="0"/>
      <w:marRight w:val="0"/>
      <w:marTop w:val="0"/>
      <w:marBottom w:val="0"/>
      <w:divBdr>
        <w:top w:val="none" w:sz="0" w:space="0" w:color="auto"/>
        <w:left w:val="none" w:sz="0" w:space="0" w:color="auto"/>
        <w:bottom w:val="none" w:sz="0" w:space="0" w:color="auto"/>
        <w:right w:val="none" w:sz="0" w:space="0" w:color="auto"/>
      </w:divBdr>
    </w:div>
    <w:div w:id="77432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cdh.optum.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2.gif@01D15E86.DE0C46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file:///C:\Users\amcgeeh\AppData\Local\Microsoft\Windows\Temporary%20Internet%20Files\Content.Outlook\PJ8GL6F1\%25%25unsub_center_url%25%25" TargetMode="External"/><Relationship Id="rId5" Type="http://schemas.openxmlformats.org/officeDocument/2006/relationships/image" Target="cid:image001.jpg@01D15E86.DE0C4630" TargetMode="External"/><Relationship Id="rId10" Type="http://schemas.openxmlformats.org/officeDocument/2006/relationships/image" Target="cid:image003.gif@01D15E86.DE0C4630" TargetMode="External"/><Relationship Id="rId4" Type="http://schemas.openxmlformats.org/officeDocument/2006/relationships/image" Target="media/image1.jpeg"/><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Lanier</dc:creator>
  <cp:keywords/>
  <dc:description/>
  <cp:lastModifiedBy>Terri Cavender</cp:lastModifiedBy>
  <cp:revision>2</cp:revision>
  <dcterms:created xsi:type="dcterms:W3CDTF">2016-02-08T18:45:00Z</dcterms:created>
  <dcterms:modified xsi:type="dcterms:W3CDTF">2016-02-08T18:45:00Z</dcterms:modified>
</cp:coreProperties>
</file>